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A8119" w14:textId="77777777" w:rsidR="008032A6" w:rsidRDefault="008032A6" w:rsidP="00BE6064">
      <w:pPr>
        <w:pStyle w:val="APA"/>
      </w:pPr>
      <w:bookmarkStart w:id="0" w:name="_GoBack"/>
      <w:bookmarkEnd w:id="0"/>
      <w:r>
        <w:t>Project implementation follows a logical and well-organized process to ensure all considerations are accounted for.</w:t>
      </w:r>
      <w:r w:rsidRPr="00013C6D">
        <w:rPr>
          <w:rFonts w:eastAsiaTheme="minorEastAsia"/>
          <w:b/>
          <w:bCs/>
          <w:lang w:eastAsia="zh-CN"/>
        </w:rPr>
        <w:t xml:space="preserve"> </w:t>
      </w:r>
      <w:r w:rsidRPr="00013C6D">
        <w:t xml:space="preserve">This quality improvement (QI) project aims to implement </w:t>
      </w:r>
      <w:r>
        <w:t>a validated screening tool for intimate partner violence (IPV). Implementation will allow nurses</w:t>
      </w:r>
      <w:r w:rsidRPr="00013C6D">
        <w:t xml:space="preserve"> to identify and provide early intervention, resources, and referrals for </w:t>
      </w:r>
      <w:r>
        <w:t xml:space="preserve">survivors of IPV. </w:t>
      </w:r>
      <w:r w:rsidRPr="00013C6D">
        <w:t xml:space="preserve">The </w:t>
      </w:r>
      <w:r>
        <w:t xml:space="preserve">overall goal is to incorporate this screening into the electronic medical record. </w:t>
      </w:r>
      <w:r w:rsidRPr="00013C6D">
        <w:rPr>
          <w:b/>
          <w:bCs/>
        </w:rPr>
        <w:t xml:space="preserve"> </w:t>
      </w:r>
      <w:r>
        <w:t xml:space="preserve">  Implementing a screening tool for intimate partner violence in the community advocacy center will produce better outcomes for survivors and allow for universal screening in future encounters. </w:t>
      </w:r>
    </w:p>
    <w:p w14:paraId="5E578787" w14:textId="77777777" w:rsidR="008032A6" w:rsidRDefault="008032A6" w:rsidP="00BE6064">
      <w:pPr>
        <w:pStyle w:val="APA"/>
      </w:pPr>
    </w:p>
    <w:p w14:paraId="5EF73203" w14:textId="77777777" w:rsidR="008032A6" w:rsidRDefault="008032A6" w:rsidP="00BE6064">
      <w:pPr>
        <w:pStyle w:val="APAHeading1"/>
      </w:pPr>
      <w:r>
        <w:t>Phase One</w:t>
      </w:r>
    </w:p>
    <w:p w14:paraId="4C46937A" w14:textId="77777777" w:rsidR="008032A6" w:rsidRDefault="008032A6" w:rsidP="00BE6064">
      <w:pPr>
        <w:spacing w:line="480" w:lineRule="auto"/>
        <w:ind w:firstLine="720"/>
        <w:rPr>
          <w:sz w:val="22"/>
          <w:szCs w:val="22"/>
        </w:rPr>
      </w:pPr>
      <w:r>
        <w:t>Phase 1 of the project includes identifying the need for screening for intimate partner violence (IPV) during the medical forensic sexual assault exam. Several law enforcement departments have contacted the non-profit advocacy center requesting support for medical forensic evaluations and resources for individuals experiencing IPV. In addition, the CDC recommends universal screening of patients for IPV, noting the correlation between IPV and sexual assault in many instances (</w:t>
      </w:r>
      <w:sdt>
        <w:sdtPr>
          <w:tag w:val="C_EE7086D2-6A8E-48BE-A8FF-B9125D17F7E7"/>
          <w:id w:val="-1758893630"/>
          <w:lock w:val="contentLocked"/>
          <w:placeholder>
            <w:docPart w:val="49EC8DF3EAE841409510F9F2DA595520"/>
          </w:placeholder>
        </w:sdtPr>
        <w:sdtEndPr/>
        <w:sdtContent>
          <w:r w:rsidRPr="009E54C0">
            <w:t>Centers for Disease Control and Prevention [CDC], 2023</w:t>
          </w:r>
        </w:sdtContent>
      </w:sdt>
      <w:r>
        <w:t>). As sexual assault nurses care holistically for the survivor, they are in an ideal position to screen for IPV and help to connect the individual to support and resources for physical and psychological safety. Currently, numerous screening tools are validated for use in screening for IPV in various settings and patient populations (</w:t>
      </w:r>
      <w:sdt>
        <w:sdtPr>
          <w:tag w:val="C_930795CB-3C05-4B19-BA38-8F21EA761979"/>
          <w:id w:val="-1139108836"/>
          <w:lock w:val="contentLocked"/>
          <w:placeholder>
            <w:docPart w:val="49EC8DF3EAE841409510F9F2DA595520"/>
          </w:placeholder>
        </w:sdtPr>
        <w:sdtEndPr/>
        <w:sdtContent>
          <w:r w:rsidRPr="009E54C0">
            <w:t>CDC, 2023</w:t>
          </w:r>
        </w:sdtContent>
      </w:sdt>
      <w:r>
        <w:t>). A literature review identified the Hurt, Threaten, Insult, and Scream (HITS) screening tool as appropriate in the setting and easy to administer for nurses who are challenged with complicated assessment and documentation already (</w:t>
      </w:r>
      <w:sdt>
        <w:sdtPr>
          <w:tag w:val="C_A17BE3EA-CDE1-45E1-968B-03E365E398CC"/>
          <w:id w:val="-1738391877"/>
          <w:lock w:val="contentLocked"/>
          <w:placeholder>
            <w:docPart w:val="49EC8DF3EAE841409510F9F2DA595520"/>
          </w:placeholder>
        </w:sdtPr>
        <w:sdtEndPr/>
        <w:sdtContent>
          <w:r w:rsidRPr="009E54C0">
            <w:t>Jin, 2018</w:t>
          </w:r>
        </w:sdtContent>
      </w:sdt>
      <w:r>
        <w:t xml:space="preserve">). Currently, there are no accrediting requirements for screening for IPV; however, if identified, </w:t>
      </w:r>
      <w:r>
        <w:lastRenderedPageBreak/>
        <w:t xml:space="preserve">nurses will provide interventions to support the survivor's safety, including contacting law enforcement, shelters, and other organizations.  </w:t>
      </w:r>
    </w:p>
    <w:p w14:paraId="4A9488DC" w14:textId="77777777" w:rsidR="008032A6" w:rsidRDefault="008032A6" w:rsidP="00BE6064">
      <w:pPr>
        <w:spacing w:line="480" w:lineRule="auto"/>
        <w:ind w:firstLine="720"/>
      </w:pPr>
      <w:r>
        <w:t xml:space="preserve">Introducing the nurses and team to the project will include staff meeting in-services in which the evidence and research supporting IPV screening will be planned. Additionally, a presentation will be prepared at the Sexual Assault Response Team (SART) meeting for all counties the advocacy center serves to advise of the new screening project and elicit questions and feedback. Printed copies of the HITS screening tool will be provided at these meetings, and copies of the fliers with resources will also be provided. Before implementation, the project start date will be communicated to the team and law enforcement by email, and a printed notice will be placed on the door to the staff office.  </w:t>
      </w:r>
    </w:p>
    <w:p w14:paraId="3F533C16" w14:textId="77777777" w:rsidR="008032A6" w:rsidRDefault="008032A6" w:rsidP="00BE6064">
      <w:pPr>
        <w:pStyle w:val="APAHeading1"/>
      </w:pPr>
      <w:r>
        <w:t>Phase Two</w:t>
      </w:r>
    </w:p>
    <w:p w14:paraId="7734DB80" w14:textId="77777777" w:rsidR="008032A6" w:rsidRPr="00D059A5" w:rsidRDefault="008032A6" w:rsidP="00BE6064">
      <w:pPr>
        <w:pStyle w:val="APAHeading1"/>
        <w:ind w:firstLine="720"/>
        <w:jc w:val="left"/>
        <w:rPr>
          <w:b w:val="0"/>
        </w:rPr>
      </w:pPr>
      <w:r w:rsidRPr="00D059A5">
        <w:rPr>
          <w:b w:val="0"/>
        </w:rPr>
        <w:t xml:space="preserve">Implementation of the project will rely on the knowledge and understanding of the team members to implement the intervention and appropriately record the results. To accomplish this, an in-service monthly nurses' meeting is conducted with a PowerPoint presentation identifying the need and purpose of the project, sharing the literature and CDC recommendations, and describing the process for screening survivors at the advocacy center. Comparing the IPV screening to other universal screening tools already in practice, such as universal screening for suicide, will help support the need for practice change. Currently, no screening is conducted for IPV. Therefore, there needs to be more practice. Often, survivors will disclose concerns for safety in returning home, and nurses and advocates will work collaboratively with law enforcement to provide options for disposition. However, no formal screening occurs.  </w:t>
      </w:r>
    </w:p>
    <w:p w14:paraId="41D5B097" w14:textId="77777777" w:rsidR="008032A6" w:rsidRPr="00D059A5" w:rsidRDefault="008032A6" w:rsidP="00BE6064">
      <w:pPr>
        <w:pStyle w:val="APAHeading1"/>
        <w:ind w:firstLine="720"/>
        <w:jc w:val="left"/>
        <w:rPr>
          <w:b w:val="0"/>
        </w:rPr>
      </w:pPr>
      <w:r w:rsidRPr="00D059A5">
        <w:rPr>
          <w:b w:val="0"/>
        </w:rPr>
        <w:t xml:space="preserve">Meetings with law enforcement agencies in the counties served by the advocacy center and the organization will elicit feedback, ideas, and planning for implementing the change. A </w:t>
      </w:r>
      <w:r w:rsidRPr="00D059A5">
        <w:rPr>
          <w:b w:val="0"/>
        </w:rPr>
        <w:lastRenderedPageBreak/>
        <w:t xml:space="preserve">review of community resources in the area is conducted to determine the best resources to provide to survivors who screen positive for IPV. In addition to reviewing the resources, the nurse manager reaches out by phone to ensure the resource provided is accessible and attainable to the survivor.  </w:t>
      </w:r>
    </w:p>
    <w:p w14:paraId="3DE46AB2" w14:textId="77777777" w:rsidR="008032A6" w:rsidRPr="00371A77" w:rsidRDefault="008032A6" w:rsidP="00BE6064">
      <w:pPr>
        <w:pStyle w:val="APAHeading1"/>
        <w:ind w:firstLine="720"/>
        <w:jc w:val="left"/>
        <w:rPr>
          <w:b w:val="0"/>
        </w:rPr>
      </w:pPr>
      <w:r w:rsidRPr="00D059A5">
        <w:rPr>
          <w:b w:val="0"/>
        </w:rPr>
        <w:t xml:space="preserve">During the in-services and presentations, nurses and team members will be encouraged to practice using the screening tool to ensure understanding and consistency in scoring. Before implementation, the workflow will be trialed to allow for troubleshooting barriers to executing the project. A detailed action plan indicating all of the specific steps and requirements for the project will be outlined and emailed to the team for clarification and reference. All of the plans and presentations will be shared with the Executive Director for support and oversight. The goal of the project will be to incorporate the screening tool and process into the forensic electronic medical record for universal screening of survivors. This will be communicated to the team and the Executive Director. </w:t>
      </w:r>
    </w:p>
    <w:p w14:paraId="7EDE0055" w14:textId="77777777" w:rsidR="008032A6" w:rsidRDefault="008032A6" w:rsidP="00BE6064">
      <w:pPr>
        <w:pStyle w:val="APAHeading1"/>
      </w:pPr>
      <w:r>
        <w:t>Phase Three</w:t>
      </w:r>
    </w:p>
    <w:p w14:paraId="25BFBCA2" w14:textId="77777777" w:rsidR="008032A6" w:rsidRDefault="008032A6" w:rsidP="00BE6064">
      <w:pPr>
        <w:pStyle w:val="APA"/>
      </w:pPr>
      <w:r w:rsidRPr="0039335B">
        <w:t xml:space="preserve">The workflow will be outlined and emailed to the team members along with a printed copy of the project steps for implementation posted in the exam room, inside the folder with the blank screening tools. Resource fliers will also be stocked in the exam room next to the screening tools for utilization by the nurses and easy access. Reminders to complete the screening will be sent weekly via email to all the nurses throughout the project and data collection period. Monthly nurse meetings will allow for discussion of concerns and barriers to completing the project. The </w:t>
      </w:r>
      <w:r>
        <w:t xml:space="preserve">student </w:t>
      </w:r>
      <w:r w:rsidRPr="0039335B">
        <w:t xml:space="preserve">will review the data, and the results will be presented to the team in the monthly meetings to support the necessity for the practice change. Upon completion of the data collection period, the results will also be shared with law enforcement agencies to </w:t>
      </w:r>
      <w:r w:rsidRPr="0039335B">
        <w:lastRenderedPageBreak/>
        <w:t>provide evidence for the need for continued awareness and assessment of IPV in conjunction with the medical forensic exam. The screening tool will allow for recognition of IPV at the time of the visit and provide an opportunity for the nurse to provide resources in real-time as well as collaborate with law enforcement to support safety and security for the survivor. Once the project is completed and the results presented, the clinical manager and executive Director will meet with the electronic medical record (EMR) team to integrate the screening tool into the permanent EMR. This will allow for universal screening of survivors for IPV at the advocacy center and other locations that the sexual assault nurses service</w:t>
      </w:r>
      <w:r>
        <w:t xml:space="preserve">. Regular meetings with the sexual assault response team and nurses will continue to allow for ongoing discussion of barriers and need for the community.  </w:t>
      </w:r>
    </w:p>
    <w:p w14:paraId="47B46127" w14:textId="77777777" w:rsidR="008032A6" w:rsidRDefault="008032A6" w:rsidP="00BE6064">
      <w:pPr>
        <w:pStyle w:val="APAHeading1"/>
      </w:pPr>
      <w:r>
        <w:t>Phase Four</w:t>
      </w:r>
    </w:p>
    <w:p w14:paraId="6DFFE7E3" w14:textId="77777777" w:rsidR="008032A6" w:rsidRPr="00371A77" w:rsidRDefault="008032A6" w:rsidP="00BE6064">
      <w:pPr>
        <w:pStyle w:val="APA"/>
      </w:pPr>
      <w:r w:rsidRPr="0039335B">
        <w:t xml:space="preserve">. </w:t>
      </w:r>
      <w:r>
        <w:t xml:space="preserve">Once the initial project is complete and the screening is part of the electronic medical record and consistently and universally conducted, </w:t>
      </w:r>
      <w:r w:rsidRPr="0039335B">
        <w:t xml:space="preserve">grant funding will be sought to utilize the outcome data from the project to continue to expand services and add medical forensic exams for domestic violence to the sexual assault exams already </w:t>
      </w:r>
      <w:r>
        <w:t>in place</w:t>
      </w:r>
      <w:r w:rsidRPr="0039335B">
        <w:t xml:space="preserve">. This will meet an increasing need in the community, as verbalized by law enforcement and reinforced by the data from the initial project. </w:t>
      </w:r>
      <w:r>
        <w:t>Research has shown that survivors of sexual assault and intimate partner violence are at higher risk of anxiety and depression and often have other social challenges (</w:t>
      </w:r>
      <w:sdt>
        <w:sdtPr>
          <w:tag w:val="C_C3DD82AF-301A-454B-9971-1EBEAFE8C406"/>
          <w:id w:val="88673620"/>
          <w:lock w:val="contentLocked"/>
          <w:placeholder>
            <w:docPart w:val="49EC8DF3EAE841409510F9F2DA595520"/>
          </w:placeholder>
        </w:sdtPr>
        <w:sdtEndPr/>
        <w:sdtContent>
          <w:r w:rsidRPr="009E54C0">
            <w:t>Holmes et al., 1998</w:t>
          </w:r>
        </w:sdtContent>
      </w:sdt>
      <w:r>
        <w:t>). Grant funding will allow for continued and permanent programming to be implemented through several counties to provide services to survivors. The funding will ensure training and education for staff and nurses on how to conduct a medical forensic examination for domestic violence and how to support the survivor. This programming is not available currently in the counties served, and the funding will sustain the support needed for the future</w:t>
      </w:r>
    </w:p>
    <w:sdt>
      <w:sdtPr>
        <w:rPr>
          <w:b w:val="0"/>
        </w:rPr>
        <w:tag w:val="ReferenceSection"/>
        <w:id w:val="-66733098"/>
        <w:placeholder>
          <w:docPart w:val="49EC8DF3EAE841409510F9F2DA595520"/>
        </w:placeholder>
        <w15:appearance w15:val="hidden"/>
      </w:sdtPr>
      <w:sdtEndPr/>
      <w:sdtContent>
        <w:p w14:paraId="0D6FDDB0" w14:textId="77777777" w:rsidR="008032A6" w:rsidRDefault="00963FB2" w:rsidP="00BE6064">
          <w:pPr>
            <w:pStyle w:val="APAReferenceSectionHeading"/>
          </w:pPr>
          <w:sdt>
            <w:sdtPr>
              <w:tag w:val="ReferenceSectionHeader"/>
              <w:id w:val="2020117361"/>
              <w:lock w:val="contentLocked"/>
              <w:placeholder>
                <w:docPart w:val="49EC8DF3EAE841409510F9F2DA595520"/>
              </w:placeholder>
              <w15:appearance w15:val="hidden"/>
            </w:sdtPr>
            <w:sdtEndPr/>
            <w:sdtContent>
              <w:r w:rsidR="008032A6">
                <w:t>References</w:t>
              </w:r>
            </w:sdtContent>
          </w:sdt>
        </w:p>
        <w:p w14:paraId="179863E9" w14:textId="77777777" w:rsidR="008032A6" w:rsidRDefault="00963FB2" w:rsidP="00BE6064">
          <w:pPr>
            <w:pStyle w:val="APAReference"/>
          </w:pPr>
          <w:sdt>
            <w:sdtPr>
              <w:tag w:val="R_6440966b-641f-4418-ba53-c97e4c1f38de"/>
              <w:id w:val="-814101742"/>
              <w:lock w:val="contentLocked"/>
              <w:placeholder>
                <w:docPart w:val="49EC8DF3EAE841409510F9F2DA595520"/>
              </w:placeholder>
            </w:sdtPr>
            <w:sdtEndPr/>
            <w:sdtContent>
              <w:r w:rsidR="008032A6">
                <w:t xml:space="preserve">Centers for Disease Control and Prevention. (2023, April 20). </w:t>
              </w:r>
              <w:r w:rsidR="008032A6">
                <w:rPr>
                  <w:rStyle w:val="Emphasis"/>
                </w:rPr>
                <w:t>Intimate partner violence</w:t>
              </w:r>
              <w:r w:rsidR="008032A6">
                <w:t xml:space="preserve"> [Intimate partner violence]. Center for disease control and prevention. Retrieved July 7, 2023, from </w:t>
              </w:r>
              <w:hyperlink r:id="rId6" w:anchor=":~:text=1%20in%204%20women%20and%201%20in%2010,violence%20for%20the%20first%20time%20before%20age%2018." w:history="1">
                <w:r w:rsidR="008032A6">
                  <w:rPr>
                    <w:rStyle w:val="Hyperlink"/>
                  </w:rPr>
                  <w:t>https://www.cdc.gov/violenceprevention/communicationresources/infographics/ipv.html#:~:text=1%20in%204%20women%20and%201%20in%2010,violence%20for%20the%20first%20time%20before%20age%2018.</w:t>
                </w:r>
              </w:hyperlink>
            </w:sdtContent>
          </w:sdt>
        </w:p>
        <w:p w14:paraId="4C3D933F" w14:textId="77777777" w:rsidR="008032A6" w:rsidRDefault="00963FB2" w:rsidP="00BE6064">
          <w:pPr>
            <w:pStyle w:val="APAReference"/>
          </w:pPr>
          <w:sdt>
            <w:sdtPr>
              <w:tag w:val="R_9170f806-1d04-4f8f-9320-e871723e0ccd"/>
              <w:id w:val="-520784710"/>
              <w:lock w:val="contentLocked"/>
              <w:placeholder>
                <w:docPart w:val="49EC8DF3EAE841409510F9F2DA595520"/>
              </w:placeholder>
            </w:sdtPr>
            <w:sdtEndPr/>
            <w:sdtContent>
              <w:r w:rsidR="008032A6">
                <w:t xml:space="preserve">Gilmore, A. K., Jaffe, A. E., Hahn, C. K., Ridings, L. E., Gill-Hopple, K., Lazenby, G. B., &amp; Flanagan, J. C. (2018). Intimate partner violence and completion of post-sexual assault medical forensic examination follow-up screening. </w:t>
              </w:r>
              <w:r w:rsidR="008032A6">
                <w:rPr>
                  <w:rStyle w:val="Emphasis"/>
                </w:rPr>
                <w:t>Journal of Interpersonal Violence</w:t>
              </w:r>
              <w:r w:rsidR="008032A6">
                <w:t xml:space="preserve">, </w:t>
              </w:r>
              <w:r w:rsidR="008032A6">
                <w:rPr>
                  <w:rStyle w:val="Emphasis"/>
                </w:rPr>
                <w:t>36</w:t>
              </w:r>
              <w:r w:rsidR="008032A6">
                <w:t xml:space="preserve">(13-14), pp. 5991–6004. </w:t>
              </w:r>
              <w:hyperlink r:id="rId7" w:history="1">
                <w:r w:rsidR="008032A6">
                  <w:rPr>
                    <w:rStyle w:val="Hyperlink"/>
                  </w:rPr>
                  <w:t>https://doi.org/10.1177/0886260518817022</w:t>
                </w:r>
              </w:hyperlink>
            </w:sdtContent>
          </w:sdt>
        </w:p>
        <w:p w14:paraId="7146BB2A" w14:textId="77777777" w:rsidR="008032A6" w:rsidRDefault="00963FB2" w:rsidP="00BE6064">
          <w:pPr>
            <w:pStyle w:val="APAReference"/>
          </w:pPr>
          <w:sdt>
            <w:sdtPr>
              <w:tag w:val="R_3646aebd-61e9-4891-ad00-9ef51c6be822"/>
              <w:id w:val="1663438096"/>
              <w:lock w:val="contentLocked"/>
              <w:placeholder>
                <w:docPart w:val="49EC8DF3EAE841409510F9F2DA595520"/>
              </w:placeholder>
            </w:sdtPr>
            <w:sdtEndPr/>
            <w:sdtContent>
              <w:r w:rsidR="008032A6">
                <w:t xml:space="preserve">Hamby, S. (2016). Advancing survey science for intimate partner violence: The partner victimization scale and other innovations. </w:t>
              </w:r>
              <w:r w:rsidR="008032A6">
                <w:rPr>
                  <w:rStyle w:val="Emphasis"/>
                </w:rPr>
                <w:t>Psychology of Violence</w:t>
              </w:r>
              <w:r w:rsidR="008032A6">
                <w:t xml:space="preserve">, </w:t>
              </w:r>
              <w:r w:rsidR="008032A6">
                <w:rPr>
                  <w:rStyle w:val="Emphasis"/>
                </w:rPr>
                <w:t>6</w:t>
              </w:r>
              <w:r w:rsidR="008032A6">
                <w:t xml:space="preserve">(2), 352–359. </w:t>
              </w:r>
              <w:hyperlink r:id="rId8" w:history="1">
                <w:r w:rsidR="008032A6">
                  <w:rPr>
                    <w:rStyle w:val="Hyperlink"/>
                  </w:rPr>
                  <w:t>https://doi.org/10.1037/vio0000053</w:t>
                </w:r>
              </w:hyperlink>
            </w:sdtContent>
          </w:sdt>
        </w:p>
        <w:p w14:paraId="41872DF3" w14:textId="77777777" w:rsidR="008032A6" w:rsidRDefault="00963FB2" w:rsidP="00BE6064">
          <w:pPr>
            <w:pStyle w:val="APAReference"/>
          </w:pPr>
          <w:sdt>
            <w:sdtPr>
              <w:tag w:val="R_7e024824-8e56-46e3-ae64-e5b93d278b41"/>
              <w:id w:val="1462383590"/>
              <w:lock w:val="contentLocked"/>
              <w:placeholder>
                <w:docPart w:val="49EC8DF3EAE841409510F9F2DA595520"/>
              </w:placeholder>
            </w:sdtPr>
            <w:sdtEndPr/>
            <w:sdtContent>
              <w:r w:rsidR="008032A6">
                <w:t xml:space="preserve">Henin, S., &amp; Black, L. (2021). Understanding the long‐term trauma of sexual assault patients. </w:t>
              </w:r>
              <w:r w:rsidR="008032A6">
                <w:rPr>
                  <w:rStyle w:val="Emphasis"/>
                </w:rPr>
                <w:t>Journal of the American College of Emergency Physicians Open</w:t>
              </w:r>
              <w:r w:rsidR="008032A6">
                <w:t xml:space="preserve">, </w:t>
              </w:r>
              <w:r w:rsidR="008032A6">
                <w:rPr>
                  <w:rStyle w:val="Emphasis"/>
                </w:rPr>
                <w:t>2</w:t>
              </w:r>
              <w:r w:rsidR="008032A6">
                <w:t xml:space="preserve">(4). </w:t>
              </w:r>
              <w:hyperlink r:id="rId9" w:history="1">
                <w:r w:rsidR="008032A6">
                  <w:rPr>
                    <w:rStyle w:val="Hyperlink"/>
                  </w:rPr>
                  <w:t>https://doi.org/10.1002/emp2.12490</w:t>
                </w:r>
              </w:hyperlink>
            </w:sdtContent>
          </w:sdt>
        </w:p>
        <w:p w14:paraId="79FA8822" w14:textId="77777777" w:rsidR="008032A6" w:rsidRDefault="00963FB2" w:rsidP="00BE6064">
          <w:pPr>
            <w:pStyle w:val="APAReference"/>
          </w:pPr>
          <w:sdt>
            <w:sdtPr>
              <w:tag w:val="R_fa74fa54-0c54-474a-9abc-63ceafbbb7e1"/>
              <w:id w:val="-1788499022"/>
              <w:lock w:val="contentLocked"/>
              <w:placeholder>
                <w:docPart w:val="49EC8DF3EAE841409510F9F2DA595520"/>
              </w:placeholder>
            </w:sdtPr>
            <w:sdtEndPr/>
            <w:sdtContent>
              <w:r w:rsidR="008032A6">
                <w:t xml:space="preserve">Holmes, M. M., Resnick, H. S., &amp; Frampton, D. (1998). Follow-up of sexual assault victims. </w:t>
              </w:r>
              <w:r w:rsidR="008032A6">
                <w:rPr>
                  <w:rStyle w:val="Emphasis"/>
                </w:rPr>
                <w:t>American Journal of Obstetrics and Gynecology</w:t>
              </w:r>
              <w:r w:rsidR="008032A6">
                <w:t xml:space="preserve">, </w:t>
              </w:r>
              <w:r w:rsidR="008032A6">
                <w:rPr>
                  <w:rStyle w:val="Emphasis"/>
                </w:rPr>
                <w:t>179</w:t>
              </w:r>
              <w:r w:rsidR="008032A6">
                <w:t xml:space="preserve">(2), 336–342. </w:t>
              </w:r>
              <w:hyperlink r:id="rId10" w:history="1">
                <w:r w:rsidR="008032A6">
                  <w:rPr>
                    <w:rStyle w:val="Hyperlink"/>
                  </w:rPr>
                  <w:t>https://doi.org/10.1016/s0002-9378(98)70361-8</w:t>
                </w:r>
              </w:hyperlink>
            </w:sdtContent>
          </w:sdt>
        </w:p>
        <w:p w14:paraId="1B457DC9" w14:textId="77777777" w:rsidR="008032A6" w:rsidRDefault="00963FB2" w:rsidP="00BE6064">
          <w:pPr>
            <w:pStyle w:val="APAReference"/>
          </w:pPr>
          <w:sdt>
            <w:sdtPr>
              <w:tag w:val="R_aaf7c8d1-0352-4bb7-9eb3-645998b33063"/>
              <w:id w:val="204155077"/>
              <w:lock w:val="contentLocked"/>
              <w:placeholder>
                <w:docPart w:val="49EC8DF3EAE841409510F9F2DA595520"/>
              </w:placeholder>
            </w:sdtPr>
            <w:sdtEndPr/>
            <w:sdtContent>
              <w:r w:rsidR="008032A6">
                <w:t xml:space="preserve">Jin, J. (2018). Screening for intimate partner violence, elder abuse, and abuse of vulnerable adults. </w:t>
              </w:r>
              <w:r w:rsidR="008032A6">
                <w:rPr>
                  <w:rStyle w:val="Emphasis"/>
                </w:rPr>
                <w:t>JAMA</w:t>
              </w:r>
              <w:r w:rsidR="008032A6">
                <w:t xml:space="preserve">, </w:t>
              </w:r>
              <w:r w:rsidR="008032A6">
                <w:rPr>
                  <w:rStyle w:val="Emphasis"/>
                </w:rPr>
                <w:t>320</w:t>
              </w:r>
              <w:r w:rsidR="008032A6">
                <w:t xml:space="preserve">(16), 1718. </w:t>
              </w:r>
              <w:hyperlink r:id="rId11" w:history="1">
                <w:r w:rsidR="008032A6">
                  <w:rPr>
                    <w:rStyle w:val="Hyperlink"/>
                  </w:rPr>
                  <w:t>https://doi.org/10.1001/jama.2018.14851</w:t>
                </w:r>
              </w:hyperlink>
            </w:sdtContent>
          </w:sdt>
        </w:p>
        <w:sdt>
          <w:sdtPr>
            <w:tag w:val="R_519f9d75-4b0e-4766-99c8-7ba5cd5b18e8"/>
            <w:id w:val="-1821872493"/>
            <w:lock w:val="contentLocked"/>
            <w:placeholder>
              <w:docPart w:val="49EC8DF3EAE841409510F9F2DA595520"/>
            </w:placeholder>
          </w:sdtPr>
          <w:sdtEndPr/>
          <w:sdtContent>
            <w:p w14:paraId="53F73E31" w14:textId="77777777" w:rsidR="008032A6" w:rsidRDefault="008032A6" w:rsidP="00BE6064">
              <w:pPr>
                <w:pStyle w:val="APAReference"/>
              </w:pPr>
              <w:r>
                <w:t xml:space="preserve">Linden, J. A. (2011). Care of the adult patient after sexual assault. </w:t>
              </w:r>
              <w:r>
                <w:rPr>
                  <w:rStyle w:val="Emphasis"/>
                </w:rPr>
                <w:t>New England Journal of Medicine</w:t>
              </w:r>
              <w:r>
                <w:t xml:space="preserve">, </w:t>
              </w:r>
              <w:r>
                <w:rPr>
                  <w:rStyle w:val="Emphasis"/>
                </w:rPr>
                <w:t>365</w:t>
              </w:r>
              <w:r>
                <w:t xml:space="preserve">(9), 834–841. </w:t>
              </w:r>
              <w:hyperlink r:id="rId12" w:history="1">
                <w:r>
                  <w:rPr>
                    <w:rStyle w:val="Hyperlink"/>
                  </w:rPr>
                  <w:t>https://doi.org/10.1056/nejmcp1102869</w:t>
                </w:r>
              </w:hyperlink>
            </w:p>
          </w:sdtContent>
        </w:sdt>
        <w:p w14:paraId="4F19C427" w14:textId="77777777" w:rsidR="008032A6" w:rsidRDefault="008032A6" w:rsidP="00BE6064">
          <w:pPr>
            <w:pStyle w:val="APA"/>
          </w:pPr>
        </w:p>
        <w:p w14:paraId="2A86EAA7" w14:textId="77777777" w:rsidR="008032A6" w:rsidRDefault="00963FB2" w:rsidP="00BE6064">
          <w:pPr>
            <w:pStyle w:val="APA"/>
          </w:pPr>
        </w:p>
      </w:sdtContent>
    </w:sdt>
    <w:p w14:paraId="14E4E462" w14:textId="77777777" w:rsidR="008032A6" w:rsidRDefault="008032A6" w:rsidP="00BE6064">
      <w:pPr>
        <w:pStyle w:val="APA"/>
      </w:pPr>
    </w:p>
    <w:p w14:paraId="2C1A43AB" w14:textId="77777777" w:rsidR="008032A6" w:rsidRDefault="008032A6" w:rsidP="00BE6064">
      <w:pPr>
        <w:pStyle w:val="APA"/>
      </w:pPr>
    </w:p>
    <w:p w14:paraId="06A2B637" w14:textId="77777777" w:rsidR="008032A6" w:rsidRDefault="008032A6" w:rsidP="00BE6064">
      <w:pPr>
        <w:pStyle w:val="APA"/>
      </w:pPr>
    </w:p>
    <w:p w14:paraId="2B350D36" w14:textId="77777777" w:rsidR="008032A6" w:rsidRDefault="008032A6" w:rsidP="00BE6064">
      <w:pPr>
        <w:pStyle w:val="APA"/>
      </w:pPr>
    </w:p>
    <w:p w14:paraId="2D48910F" w14:textId="77777777" w:rsidR="008032A6" w:rsidRDefault="008032A6" w:rsidP="00BE6064">
      <w:pPr>
        <w:pStyle w:val="APA"/>
      </w:pPr>
    </w:p>
    <w:p w14:paraId="53F1A804" w14:textId="77777777" w:rsidR="008032A6" w:rsidRDefault="008032A6" w:rsidP="00BE6064">
      <w:pPr>
        <w:pStyle w:val="APA"/>
      </w:pPr>
    </w:p>
    <w:p w14:paraId="78C78ACD" w14:textId="77777777" w:rsidR="008032A6" w:rsidRDefault="008032A6" w:rsidP="00BE6064">
      <w:pPr>
        <w:pStyle w:val="APA"/>
      </w:pPr>
    </w:p>
    <w:p w14:paraId="1A24C326" w14:textId="77777777" w:rsidR="008032A6" w:rsidRDefault="008032A6" w:rsidP="00BE6064">
      <w:pPr>
        <w:pStyle w:val="APA"/>
      </w:pPr>
    </w:p>
    <w:p w14:paraId="0F5F5935" w14:textId="77777777" w:rsidR="008032A6" w:rsidRDefault="008032A6" w:rsidP="00BE6064">
      <w:pPr>
        <w:pStyle w:val="APA"/>
      </w:pPr>
    </w:p>
    <w:p w14:paraId="57EDF5E8" w14:textId="77777777" w:rsidR="008032A6" w:rsidRDefault="008032A6" w:rsidP="00BE6064">
      <w:pPr>
        <w:pStyle w:val="APA"/>
      </w:pPr>
    </w:p>
    <w:p w14:paraId="5EFFB333" w14:textId="77777777" w:rsidR="008032A6" w:rsidRDefault="008032A6" w:rsidP="00BE6064">
      <w:pPr>
        <w:pStyle w:val="APA"/>
      </w:pPr>
    </w:p>
    <w:p w14:paraId="128A9747" w14:textId="77777777" w:rsidR="008032A6" w:rsidRDefault="008032A6" w:rsidP="00BE6064">
      <w:pPr>
        <w:pStyle w:val="APA"/>
      </w:pPr>
    </w:p>
    <w:p w14:paraId="69DA39E9" w14:textId="77777777" w:rsidR="008032A6" w:rsidRDefault="008032A6" w:rsidP="00BE6064">
      <w:pPr>
        <w:pStyle w:val="APA"/>
      </w:pPr>
    </w:p>
    <w:p w14:paraId="73EC858B" w14:textId="77777777" w:rsidR="008032A6" w:rsidRDefault="008032A6" w:rsidP="00BE6064">
      <w:pPr>
        <w:pStyle w:val="APA"/>
      </w:pPr>
    </w:p>
    <w:p w14:paraId="53CC26E5" w14:textId="77777777" w:rsidR="008032A6" w:rsidRDefault="008032A6" w:rsidP="00BE6064">
      <w:pPr>
        <w:pStyle w:val="APA"/>
      </w:pPr>
    </w:p>
    <w:p w14:paraId="59FD13B4" w14:textId="77777777" w:rsidR="008032A6" w:rsidRDefault="008032A6" w:rsidP="00BE6064">
      <w:pPr>
        <w:pStyle w:val="APA"/>
      </w:pPr>
    </w:p>
    <w:p w14:paraId="5CE9CB89" w14:textId="77777777" w:rsidR="008032A6" w:rsidRDefault="008032A6" w:rsidP="00BE6064">
      <w:pPr>
        <w:pStyle w:val="APA"/>
      </w:pPr>
    </w:p>
    <w:p w14:paraId="10323D3C" w14:textId="77777777" w:rsidR="008032A6" w:rsidRDefault="008032A6" w:rsidP="00BE6064">
      <w:pPr>
        <w:pStyle w:val="APA"/>
      </w:pPr>
    </w:p>
    <w:p w14:paraId="7263E0F0" w14:textId="77777777" w:rsidR="008032A6" w:rsidRDefault="008032A6" w:rsidP="00BE6064">
      <w:pPr>
        <w:pStyle w:val="APA"/>
      </w:pPr>
    </w:p>
    <w:p w14:paraId="7CB95597" w14:textId="77777777" w:rsidR="008032A6" w:rsidRDefault="008032A6" w:rsidP="00BE6064">
      <w:pPr>
        <w:pStyle w:val="APA"/>
        <w:ind w:firstLine="0"/>
        <w:sectPr w:rsidR="008032A6">
          <w:headerReference w:type="default" r:id="rId13"/>
          <w:headerReference w:type="first" r:id="rId14"/>
          <w:pgSz w:w="12240" w:h="15840"/>
          <w:pgMar w:top="1440" w:right="1440" w:bottom="1440" w:left="1440" w:header="708" w:footer="708" w:gutter="0"/>
          <w:cols w:space="708"/>
          <w:docGrid w:linePitch="360"/>
        </w:sectPr>
      </w:pPr>
    </w:p>
    <w:p w14:paraId="6D156C2D" w14:textId="77777777" w:rsidR="008032A6" w:rsidRDefault="00963FB2" w:rsidP="00BE6064">
      <w:pPr>
        <w:pStyle w:val="APAFirstPageTitle"/>
      </w:pPr>
      <w:sdt>
        <w:sdtPr>
          <w:tag w:val="A_56B32AEC-8ED1-4526-8E0D-D7FEE61106AB"/>
          <w:id w:val="516052257"/>
          <w:lock w:val="contentLocked"/>
          <w:placeholder>
            <w:docPart w:val="49EC8DF3EAE841409510F9F2DA595520"/>
          </w:placeholder>
          <w15:appearance w15:val="hidden"/>
        </w:sdtPr>
        <w:sdtEndPr/>
        <w:sdtContent>
          <w:r w:rsidR="008032A6">
            <w:t>Appendix</w:t>
          </w:r>
        </w:sdtContent>
      </w:sdt>
    </w:p>
    <w:p w14:paraId="69E3F0F5" w14:textId="77777777" w:rsidR="008032A6" w:rsidRDefault="008032A6" w:rsidP="00BE6064">
      <w:pPr>
        <w:pStyle w:val="APAAppendixTitle"/>
      </w:pPr>
      <w:r>
        <w:t>The Iowa Model Worksheet</w:t>
      </w:r>
    </w:p>
    <w:tbl>
      <w:tblPr>
        <w:tblStyle w:val="TableGrid"/>
        <w:tblW w:w="0" w:type="auto"/>
        <w:tblLook w:val="04A0" w:firstRow="1" w:lastRow="0" w:firstColumn="1" w:lastColumn="0" w:noHBand="0" w:noVBand="1"/>
      </w:tblPr>
      <w:tblGrid>
        <w:gridCol w:w="2130"/>
        <w:gridCol w:w="1829"/>
        <w:gridCol w:w="1851"/>
        <w:gridCol w:w="1754"/>
        <w:gridCol w:w="1786"/>
      </w:tblGrid>
      <w:tr w:rsidR="008032A6" w14:paraId="03F03F28" w14:textId="77777777" w:rsidTr="00BE6064">
        <w:tc>
          <w:tcPr>
            <w:tcW w:w="1870" w:type="dxa"/>
          </w:tcPr>
          <w:p w14:paraId="689FD585" w14:textId="77777777" w:rsidR="008032A6" w:rsidRPr="009D3798" w:rsidRDefault="008032A6" w:rsidP="00BE6064">
            <w:pPr>
              <w:rPr>
                <w:b/>
                <w:bCs/>
                <w:sz w:val="28"/>
                <w:szCs w:val="28"/>
              </w:rPr>
            </w:pPr>
            <w:r w:rsidRPr="009D3798">
              <w:rPr>
                <w:b/>
                <w:bCs/>
                <w:sz w:val="28"/>
                <w:szCs w:val="28"/>
              </w:rPr>
              <w:t>Implementation Strategy</w:t>
            </w:r>
          </w:p>
        </w:tc>
        <w:tc>
          <w:tcPr>
            <w:tcW w:w="1870" w:type="dxa"/>
          </w:tcPr>
          <w:p w14:paraId="56CF4C72" w14:textId="77777777" w:rsidR="008032A6" w:rsidRPr="009D3798" w:rsidRDefault="008032A6" w:rsidP="00BE6064">
            <w:pPr>
              <w:rPr>
                <w:b/>
                <w:bCs/>
                <w:sz w:val="28"/>
                <w:szCs w:val="28"/>
              </w:rPr>
            </w:pPr>
            <w:r w:rsidRPr="009D3798">
              <w:rPr>
                <w:b/>
                <w:bCs/>
                <w:sz w:val="28"/>
                <w:szCs w:val="28"/>
              </w:rPr>
              <w:t>Phase 1: Create Awareness &amp; Interest</w:t>
            </w:r>
          </w:p>
        </w:tc>
        <w:tc>
          <w:tcPr>
            <w:tcW w:w="1870" w:type="dxa"/>
          </w:tcPr>
          <w:p w14:paraId="69B4984A" w14:textId="77777777" w:rsidR="008032A6" w:rsidRPr="009D3798" w:rsidRDefault="008032A6" w:rsidP="00BE6064">
            <w:pPr>
              <w:rPr>
                <w:b/>
                <w:bCs/>
                <w:sz w:val="28"/>
                <w:szCs w:val="28"/>
              </w:rPr>
            </w:pPr>
            <w:r w:rsidRPr="009D3798">
              <w:rPr>
                <w:b/>
                <w:bCs/>
                <w:sz w:val="28"/>
                <w:szCs w:val="28"/>
              </w:rPr>
              <w:t>Phase 2: Build Knowledge &amp; Commitment</w:t>
            </w:r>
          </w:p>
        </w:tc>
        <w:tc>
          <w:tcPr>
            <w:tcW w:w="1870" w:type="dxa"/>
          </w:tcPr>
          <w:p w14:paraId="504337C8" w14:textId="77777777" w:rsidR="008032A6" w:rsidRPr="009D3798" w:rsidRDefault="008032A6" w:rsidP="00BE6064">
            <w:pPr>
              <w:rPr>
                <w:b/>
                <w:bCs/>
                <w:sz w:val="28"/>
                <w:szCs w:val="28"/>
              </w:rPr>
            </w:pPr>
            <w:r w:rsidRPr="009D3798">
              <w:rPr>
                <w:b/>
                <w:bCs/>
                <w:sz w:val="28"/>
                <w:szCs w:val="28"/>
              </w:rPr>
              <w:t>Phase 3: Promote Action &amp; Adoption</w:t>
            </w:r>
          </w:p>
        </w:tc>
        <w:tc>
          <w:tcPr>
            <w:tcW w:w="1870" w:type="dxa"/>
          </w:tcPr>
          <w:p w14:paraId="3DBFD8E3" w14:textId="77777777" w:rsidR="008032A6" w:rsidRPr="009D3798" w:rsidRDefault="008032A6" w:rsidP="00BE6064">
            <w:pPr>
              <w:rPr>
                <w:b/>
                <w:bCs/>
                <w:sz w:val="28"/>
                <w:szCs w:val="28"/>
              </w:rPr>
            </w:pPr>
            <w:r w:rsidRPr="009D3798">
              <w:rPr>
                <w:b/>
                <w:bCs/>
                <w:sz w:val="28"/>
                <w:szCs w:val="28"/>
              </w:rPr>
              <w:t>Phase 4: Pursue Integration &amp; Sustained Use</w:t>
            </w:r>
          </w:p>
        </w:tc>
      </w:tr>
      <w:tr w:rsidR="008032A6" w14:paraId="42EAA5E1" w14:textId="77777777" w:rsidTr="00BE6064">
        <w:tc>
          <w:tcPr>
            <w:tcW w:w="1870" w:type="dxa"/>
          </w:tcPr>
          <w:p w14:paraId="32B387F8" w14:textId="77777777" w:rsidR="008032A6" w:rsidRPr="00BF1FE1" w:rsidRDefault="008032A6" w:rsidP="00BE6064">
            <w:pPr>
              <w:rPr>
                <w:b/>
                <w:bCs/>
                <w:sz w:val="28"/>
                <w:szCs w:val="28"/>
              </w:rPr>
            </w:pPr>
            <w:r w:rsidRPr="00BF1FE1">
              <w:rPr>
                <w:b/>
                <w:bCs/>
                <w:sz w:val="28"/>
                <w:szCs w:val="28"/>
              </w:rPr>
              <w:t>Marketing</w:t>
            </w:r>
          </w:p>
        </w:tc>
        <w:tc>
          <w:tcPr>
            <w:tcW w:w="1870" w:type="dxa"/>
          </w:tcPr>
          <w:p w14:paraId="2C7415E7" w14:textId="77777777" w:rsidR="008032A6" w:rsidRDefault="008032A6" w:rsidP="00BE6064">
            <w:r>
              <w:t>n/a</w:t>
            </w:r>
          </w:p>
        </w:tc>
        <w:tc>
          <w:tcPr>
            <w:tcW w:w="1870" w:type="dxa"/>
          </w:tcPr>
          <w:p w14:paraId="7C790C77" w14:textId="77777777" w:rsidR="008032A6" w:rsidRDefault="008032A6" w:rsidP="00BE6064">
            <w:r>
              <w:t>Attend SART meeting to present the plan and increase awareness about IPV screening opportunities</w:t>
            </w:r>
          </w:p>
        </w:tc>
        <w:tc>
          <w:tcPr>
            <w:tcW w:w="1870" w:type="dxa"/>
          </w:tcPr>
          <w:p w14:paraId="4AE0315C" w14:textId="77777777" w:rsidR="008032A6" w:rsidRDefault="008032A6" w:rsidP="00BE6064">
            <w:r>
              <w:t>Report to the SART meetings the results and need.</w:t>
            </w:r>
          </w:p>
        </w:tc>
        <w:tc>
          <w:tcPr>
            <w:tcW w:w="1870" w:type="dxa"/>
          </w:tcPr>
          <w:p w14:paraId="15D26147" w14:textId="77777777" w:rsidR="008032A6" w:rsidRDefault="008032A6" w:rsidP="00BE6064">
            <w:r>
              <w:t>Seek grant funding to promote programs for IPV in addition to sexual assault in three counties</w:t>
            </w:r>
          </w:p>
        </w:tc>
      </w:tr>
      <w:tr w:rsidR="008032A6" w14:paraId="4D18F748" w14:textId="77777777" w:rsidTr="00BE6064">
        <w:tc>
          <w:tcPr>
            <w:tcW w:w="1870" w:type="dxa"/>
          </w:tcPr>
          <w:p w14:paraId="3EEA6E59" w14:textId="77777777" w:rsidR="008032A6" w:rsidRPr="00BF1FE1" w:rsidRDefault="008032A6" w:rsidP="00BE6064">
            <w:pPr>
              <w:rPr>
                <w:b/>
                <w:bCs/>
                <w:sz w:val="28"/>
                <w:szCs w:val="28"/>
              </w:rPr>
            </w:pPr>
            <w:r w:rsidRPr="00BF1FE1">
              <w:rPr>
                <w:b/>
                <w:bCs/>
                <w:sz w:val="28"/>
                <w:szCs w:val="28"/>
              </w:rPr>
              <w:t>Information</w:t>
            </w:r>
          </w:p>
        </w:tc>
        <w:tc>
          <w:tcPr>
            <w:tcW w:w="1870" w:type="dxa"/>
          </w:tcPr>
          <w:p w14:paraId="42981C5B" w14:textId="77777777" w:rsidR="008032A6" w:rsidRDefault="008032A6" w:rsidP="00BE6064">
            <w:r>
              <w:t>Develop Inservice for RNs, law enforcement, and advocates</w:t>
            </w:r>
          </w:p>
        </w:tc>
        <w:tc>
          <w:tcPr>
            <w:tcW w:w="1870" w:type="dxa"/>
          </w:tcPr>
          <w:p w14:paraId="6084A899" w14:textId="77777777" w:rsidR="008032A6" w:rsidRDefault="008032A6" w:rsidP="00BE6064">
            <w:r>
              <w:t xml:space="preserve">Present in-service at monthly nurses' meetings to explain the project, workflow, and nursing role. </w:t>
            </w:r>
          </w:p>
        </w:tc>
        <w:tc>
          <w:tcPr>
            <w:tcW w:w="1870" w:type="dxa"/>
          </w:tcPr>
          <w:p w14:paraId="5C44D1BE" w14:textId="77777777" w:rsidR="008032A6" w:rsidRDefault="008032A6" w:rsidP="00BE6064">
            <w:r>
              <w:t>Present the results at the monthly staff meeting and to the Executive Director</w:t>
            </w:r>
          </w:p>
        </w:tc>
        <w:tc>
          <w:tcPr>
            <w:tcW w:w="1870" w:type="dxa"/>
          </w:tcPr>
          <w:p w14:paraId="572F4FE5" w14:textId="77777777" w:rsidR="008032A6" w:rsidRDefault="008032A6" w:rsidP="00BE6064">
            <w:r>
              <w:t>Continual meetings with SART and nurses to review screening results and needs</w:t>
            </w:r>
          </w:p>
        </w:tc>
      </w:tr>
      <w:tr w:rsidR="008032A6" w14:paraId="28202B15" w14:textId="77777777" w:rsidTr="00BE6064">
        <w:tc>
          <w:tcPr>
            <w:tcW w:w="1870" w:type="dxa"/>
          </w:tcPr>
          <w:p w14:paraId="51D35EFF" w14:textId="77777777" w:rsidR="008032A6" w:rsidRPr="00BF1FE1" w:rsidRDefault="008032A6" w:rsidP="00BE6064">
            <w:pPr>
              <w:rPr>
                <w:b/>
                <w:bCs/>
                <w:sz w:val="28"/>
                <w:szCs w:val="28"/>
              </w:rPr>
            </w:pPr>
            <w:r w:rsidRPr="00BF1FE1">
              <w:rPr>
                <w:b/>
                <w:bCs/>
                <w:sz w:val="28"/>
                <w:szCs w:val="28"/>
              </w:rPr>
              <w:t>Learning</w:t>
            </w:r>
          </w:p>
        </w:tc>
        <w:tc>
          <w:tcPr>
            <w:tcW w:w="1870" w:type="dxa"/>
          </w:tcPr>
          <w:p w14:paraId="34F02E4F" w14:textId="77777777" w:rsidR="008032A6" w:rsidRDefault="008032A6" w:rsidP="00BE6064">
            <w:r>
              <w:t>explore research and evidence-based practice from the literature</w:t>
            </w:r>
          </w:p>
        </w:tc>
        <w:tc>
          <w:tcPr>
            <w:tcW w:w="1870" w:type="dxa"/>
          </w:tcPr>
          <w:p w14:paraId="7D2D6616" w14:textId="77777777" w:rsidR="008032A6" w:rsidRDefault="008032A6" w:rsidP="00BE6064">
            <w:r>
              <w:t xml:space="preserve">Share the evidence and research that supports IPV screening at the time of a sexual assault exam. </w:t>
            </w:r>
          </w:p>
        </w:tc>
        <w:tc>
          <w:tcPr>
            <w:tcW w:w="1870" w:type="dxa"/>
          </w:tcPr>
          <w:p w14:paraId="51B24E94" w14:textId="77777777" w:rsidR="008032A6" w:rsidRDefault="008032A6" w:rsidP="00BE6064">
            <w:r>
              <w:t>Connect results to ongoing research and best practice to identify how to make survivor care better</w:t>
            </w:r>
          </w:p>
        </w:tc>
        <w:tc>
          <w:tcPr>
            <w:tcW w:w="1870" w:type="dxa"/>
          </w:tcPr>
          <w:p w14:paraId="407D75E2" w14:textId="77777777" w:rsidR="008032A6" w:rsidRDefault="008032A6" w:rsidP="00BE6064">
            <w:r>
              <w:t>Continue to look at the literature for changes in best practices and ideas for new interventions and program guidelines for IPV exams</w:t>
            </w:r>
          </w:p>
        </w:tc>
      </w:tr>
      <w:tr w:rsidR="008032A6" w14:paraId="74728B34" w14:textId="77777777" w:rsidTr="00BE6064">
        <w:tc>
          <w:tcPr>
            <w:tcW w:w="1870" w:type="dxa"/>
          </w:tcPr>
          <w:p w14:paraId="75217F25" w14:textId="77777777" w:rsidR="008032A6" w:rsidRPr="00BF1FE1" w:rsidRDefault="008032A6" w:rsidP="00BE6064">
            <w:pPr>
              <w:rPr>
                <w:b/>
                <w:bCs/>
                <w:sz w:val="28"/>
                <w:szCs w:val="28"/>
              </w:rPr>
            </w:pPr>
            <w:r w:rsidRPr="00BF1FE1">
              <w:rPr>
                <w:b/>
                <w:bCs/>
                <w:sz w:val="28"/>
                <w:szCs w:val="28"/>
              </w:rPr>
              <w:t>Commitment</w:t>
            </w:r>
          </w:p>
        </w:tc>
        <w:tc>
          <w:tcPr>
            <w:tcW w:w="1870" w:type="dxa"/>
          </w:tcPr>
          <w:p w14:paraId="2117A953" w14:textId="77777777" w:rsidR="008032A6" w:rsidRDefault="008032A6" w:rsidP="00BE6064">
            <w:r>
              <w:t>Plan time for implementation and project. Identify the practice change outcome expected.</w:t>
            </w:r>
          </w:p>
        </w:tc>
        <w:tc>
          <w:tcPr>
            <w:tcW w:w="1870" w:type="dxa"/>
          </w:tcPr>
          <w:p w14:paraId="23C7AACC" w14:textId="77777777" w:rsidR="008032A6" w:rsidRDefault="008032A6" w:rsidP="00BE6064">
            <w:r>
              <w:t xml:space="preserve">Gather commitment from nurses, clinic managers, and law enforcement by explaining and sharing the research and how this will </w:t>
            </w:r>
            <w:r>
              <w:lastRenderedPageBreak/>
              <w:t>help with survivor outcomes.</w:t>
            </w:r>
          </w:p>
        </w:tc>
        <w:tc>
          <w:tcPr>
            <w:tcW w:w="1870" w:type="dxa"/>
          </w:tcPr>
          <w:p w14:paraId="3DF01F30" w14:textId="77777777" w:rsidR="008032A6" w:rsidRDefault="008032A6" w:rsidP="00BE6064">
            <w:r>
              <w:lastRenderedPageBreak/>
              <w:t xml:space="preserve">Request change to forensic EMR to build the IPV screening tool into the medical record to ensure universal screening and </w:t>
            </w:r>
            <w:r>
              <w:lastRenderedPageBreak/>
              <w:t>help with data analysis</w:t>
            </w:r>
          </w:p>
        </w:tc>
        <w:tc>
          <w:tcPr>
            <w:tcW w:w="1870" w:type="dxa"/>
          </w:tcPr>
          <w:p w14:paraId="3FE94E6D" w14:textId="77777777" w:rsidR="008032A6" w:rsidRDefault="008032A6" w:rsidP="00BE6064">
            <w:r>
              <w:lastRenderedPageBreak/>
              <w:t>Move forward to the execution of the new program for IPV exams and continue to monitor progress and identify challenges.</w:t>
            </w:r>
          </w:p>
        </w:tc>
      </w:tr>
      <w:tr w:rsidR="008032A6" w14:paraId="5D4029E4" w14:textId="77777777" w:rsidTr="00BE6064">
        <w:tc>
          <w:tcPr>
            <w:tcW w:w="1870" w:type="dxa"/>
          </w:tcPr>
          <w:p w14:paraId="69534166" w14:textId="77777777" w:rsidR="008032A6" w:rsidRPr="00BF1FE1" w:rsidRDefault="008032A6" w:rsidP="00BE6064">
            <w:pPr>
              <w:rPr>
                <w:b/>
                <w:bCs/>
                <w:sz w:val="28"/>
                <w:szCs w:val="28"/>
              </w:rPr>
            </w:pPr>
            <w:r w:rsidRPr="00BF1FE1">
              <w:rPr>
                <w:b/>
                <w:bCs/>
                <w:sz w:val="28"/>
                <w:szCs w:val="28"/>
              </w:rPr>
              <w:t>Change Agents</w:t>
            </w:r>
          </w:p>
        </w:tc>
        <w:tc>
          <w:tcPr>
            <w:tcW w:w="1870" w:type="dxa"/>
          </w:tcPr>
          <w:p w14:paraId="3A00DB78" w14:textId="77777777" w:rsidR="008032A6" w:rsidRDefault="008032A6" w:rsidP="00BE6064">
            <w:r>
              <w:t>Prepare to present to Nurses, Clinical Manager, Executive Director, Law Enforcement.</w:t>
            </w:r>
          </w:p>
        </w:tc>
        <w:tc>
          <w:tcPr>
            <w:tcW w:w="1870" w:type="dxa"/>
          </w:tcPr>
          <w:p w14:paraId="4DF05645" w14:textId="77777777" w:rsidR="008032A6" w:rsidRDefault="008032A6" w:rsidP="00BE6064">
            <w:r>
              <w:t xml:space="preserve">Talk to the executive Director, clinic manager, law enforcement, advocates, and nurses about the project and provide details for execution and the potential outcomes. </w:t>
            </w:r>
          </w:p>
        </w:tc>
        <w:tc>
          <w:tcPr>
            <w:tcW w:w="1870" w:type="dxa"/>
          </w:tcPr>
          <w:p w14:paraId="182A8071" w14:textId="77777777" w:rsidR="008032A6" w:rsidRDefault="008032A6" w:rsidP="00BE6064">
            <w:r>
              <w:t>Executive Director, Clinic Manager, Nurses, Law Enforcement</w:t>
            </w:r>
          </w:p>
        </w:tc>
        <w:tc>
          <w:tcPr>
            <w:tcW w:w="1870" w:type="dxa"/>
          </w:tcPr>
          <w:p w14:paraId="318E2DB1" w14:textId="77777777" w:rsidR="008032A6" w:rsidRDefault="008032A6" w:rsidP="00BE6064">
            <w:r>
              <w:t>Executive Director</w:t>
            </w:r>
          </w:p>
          <w:p w14:paraId="367BB372" w14:textId="77777777" w:rsidR="008032A6" w:rsidRDefault="008032A6" w:rsidP="00BE6064">
            <w:r>
              <w:t>Clinic Manager</w:t>
            </w:r>
          </w:p>
          <w:p w14:paraId="429FF594" w14:textId="77777777" w:rsidR="008032A6" w:rsidRDefault="008032A6" w:rsidP="00BE6064">
            <w:r>
              <w:t>Nurses</w:t>
            </w:r>
          </w:p>
          <w:p w14:paraId="0D9D0E74" w14:textId="77777777" w:rsidR="008032A6" w:rsidRDefault="008032A6" w:rsidP="00BE6064">
            <w:r>
              <w:t>Law Enforcement</w:t>
            </w:r>
          </w:p>
        </w:tc>
      </w:tr>
      <w:tr w:rsidR="008032A6" w14:paraId="0BF77568" w14:textId="77777777" w:rsidTr="00BE6064">
        <w:tc>
          <w:tcPr>
            <w:tcW w:w="1870" w:type="dxa"/>
          </w:tcPr>
          <w:p w14:paraId="0194010D" w14:textId="77777777" w:rsidR="008032A6" w:rsidRPr="00BF1FE1" w:rsidRDefault="008032A6" w:rsidP="00BE6064">
            <w:pPr>
              <w:rPr>
                <w:b/>
                <w:bCs/>
                <w:sz w:val="28"/>
                <w:szCs w:val="28"/>
              </w:rPr>
            </w:pPr>
            <w:r w:rsidRPr="00BF1FE1">
              <w:rPr>
                <w:b/>
                <w:bCs/>
                <w:sz w:val="28"/>
                <w:szCs w:val="28"/>
              </w:rPr>
              <w:t>Decision Support</w:t>
            </w:r>
          </w:p>
        </w:tc>
        <w:tc>
          <w:tcPr>
            <w:tcW w:w="1870" w:type="dxa"/>
          </w:tcPr>
          <w:p w14:paraId="25F8EE72" w14:textId="77777777" w:rsidR="008032A6" w:rsidRDefault="008032A6" w:rsidP="00BE6064">
            <w:r>
              <w:t>Identify stakeholders and plan proposals.</w:t>
            </w:r>
          </w:p>
        </w:tc>
        <w:tc>
          <w:tcPr>
            <w:tcW w:w="1870" w:type="dxa"/>
          </w:tcPr>
          <w:p w14:paraId="59E05106" w14:textId="77777777" w:rsidR="008032A6" w:rsidRDefault="008032A6" w:rsidP="00BE6064">
            <w:r>
              <w:t>Gather feedback and concerns from nurses and clinic manager to assist with decision support and identify barriers to implementation.</w:t>
            </w:r>
          </w:p>
        </w:tc>
        <w:tc>
          <w:tcPr>
            <w:tcW w:w="1870" w:type="dxa"/>
          </w:tcPr>
          <w:p w14:paraId="0D912EB5" w14:textId="77777777" w:rsidR="008032A6" w:rsidRDefault="008032A6" w:rsidP="00BE6064">
            <w:r>
              <w:t>Executive Director and Clinic Manager to push for integrating screening tools in the EMR. Law enforcement to support the growth of the program for domestic violence survivors</w:t>
            </w:r>
          </w:p>
        </w:tc>
        <w:tc>
          <w:tcPr>
            <w:tcW w:w="1870" w:type="dxa"/>
          </w:tcPr>
          <w:p w14:paraId="15B9978B" w14:textId="77777777" w:rsidR="008032A6" w:rsidRDefault="008032A6" w:rsidP="00BE6064">
            <w:r>
              <w:t>Executive Director to acquire a grant, Clinic manager to implement a new program for IPV, nurses to screen universally at all locations, Law enforcement to team with advocacy center to provide support</w:t>
            </w:r>
          </w:p>
        </w:tc>
      </w:tr>
      <w:tr w:rsidR="008032A6" w14:paraId="74B3A88F" w14:textId="77777777" w:rsidTr="00BE6064">
        <w:tc>
          <w:tcPr>
            <w:tcW w:w="1870" w:type="dxa"/>
          </w:tcPr>
          <w:p w14:paraId="2F5FDC51" w14:textId="77777777" w:rsidR="008032A6" w:rsidRPr="00BF1FE1" w:rsidRDefault="008032A6" w:rsidP="00BE6064">
            <w:pPr>
              <w:rPr>
                <w:b/>
                <w:bCs/>
                <w:sz w:val="28"/>
                <w:szCs w:val="28"/>
              </w:rPr>
            </w:pPr>
            <w:r w:rsidRPr="00BF1FE1">
              <w:rPr>
                <w:b/>
                <w:bCs/>
                <w:sz w:val="28"/>
                <w:szCs w:val="28"/>
              </w:rPr>
              <w:t>Adaptation</w:t>
            </w:r>
          </w:p>
        </w:tc>
        <w:tc>
          <w:tcPr>
            <w:tcW w:w="1870" w:type="dxa"/>
          </w:tcPr>
          <w:p w14:paraId="0B93D87C" w14:textId="77777777" w:rsidR="008032A6" w:rsidRDefault="008032A6" w:rsidP="00BE6064">
            <w:r>
              <w:t xml:space="preserve">Identify the implementation goal in EMR—research screening tools to determine HITS as the best tool. </w:t>
            </w:r>
          </w:p>
        </w:tc>
        <w:tc>
          <w:tcPr>
            <w:tcW w:w="1870" w:type="dxa"/>
          </w:tcPr>
          <w:p w14:paraId="41E4C458" w14:textId="77777777" w:rsidR="008032A6" w:rsidRDefault="008032A6" w:rsidP="00BE6064">
            <w:r>
              <w:t>Present how the implementation will be changed to meet the workflow needs of the advocacy center and when the project will begin.</w:t>
            </w:r>
          </w:p>
        </w:tc>
        <w:tc>
          <w:tcPr>
            <w:tcW w:w="1870" w:type="dxa"/>
          </w:tcPr>
          <w:p w14:paraId="004D3FC3" w14:textId="77777777" w:rsidR="008032A6" w:rsidRDefault="008032A6" w:rsidP="00BE6064">
            <w:r>
              <w:t>Adopt the HITS screening tool for universal screening of IPV and build it into EMR.</w:t>
            </w:r>
          </w:p>
        </w:tc>
        <w:tc>
          <w:tcPr>
            <w:tcW w:w="1870" w:type="dxa"/>
          </w:tcPr>
          <w:p w14:paraId="2E93BC83" w14:textId="77777777" w:rsidR="008032A6" w:rsidRDefault="008032A6" w:rsidP="00BE6064">
            <w:r>
              <w:t xml:space="preserve">If necessary, review tools for challenges or needed changes. Review resources and continually update that are provided to survivors. Clinical guidelines for the IPV exam </w:t>
            </w:r>
            <w:r>
              <w:lastRenderedPageBreak/>
              <w:t xml:space="preserve">program executed </w:t>
            </w:r>
          </w:p>
        </w:tc>
      </w:tr>
      <w:tr w:rsidR="008032A6" w14:paraId="2C225F00" w14:textId="77777777" w:rsidTr="00BE6064">
        <w:tc>
          <w:tcPr>
            <w:tcW w:w="1870" w:type="dxa"/>
          </w:tcPr>
          <w:p w14:paraId="2B565C4E" w14:textId="77777777" w:rsidR="008032A6" w:rsidRPr="00BF1FE1" w:rsidRDefault="008032A6" w:rsidP="00BE6064">
            <w:pPr>
              <w:rPr>
                <w:b/>
                <w:bCs/>
                <w:sz w:val="28"/>
                <w:szCs w:val="28"/>
              </w:rPr>
            </w:pPr>
            <w:r w:rsidRPr="00BF1FE1">
              <w:rPr>
                <w:b/>
                <w:bCs/>
                <w:sz w:val="28"/>
                <w:szCs w:val="28"/>
              </w:rPr>
              <w:lastRenderedPageBreak/>
              <w:t>Data</w:t>
            </w:r>
          </w:p>
        </w:tc>
        <w:tc>
          <w:tcPr>
            <w:tcW w:w="1870" w:type="dxa"/>
          </w:tcPr>
          <w:p w14:paraId="2B1FD49C" w14:textId="77777777" w:rsidR="008032A6" w:rsidRDefault="008032A6" w:rsidP="00BE6064">
            <w:r>
              <w:t>Determine how data will be collected: on screening tool paper tool and stored in the medication room, which is locked.</w:t>
            </w:r>
          </w:p>
        </w:tc>
        <w:tc>
          <w:tcPr>
            <w:tcW w:w="1870" w:type="dxa"/>
          </w:tcPr>
          <w:p w14:paraId="7F2C27F4" w14:textId="77777777" w:rsidR="008032A6" w:rsidRDefault="008032A6" w:rsidP="00BE6064">
            <w:r>
              <w:t>Collect the data and implement the IPV screening for all survivors seen at the advocacy center.</w:t>
            </w:r>
          </w:p>
        </w:tc>
        <w:tc>
          <w:tcPr>
            <w:tcW w:w="1870" w:type="dxa"/>
          </w:tcPr>
          <w:p w14:paraId="5C05C030" w14:textId="77777777" w:rsidR="008032A6" w:rsidRDefault="008032A6" w:rsidP="00BE6064">
            <w:r>
              <w:t>Continue to collect data and analyze the need</w:t>
            </w:r>
          </w:p>
        </w:tc>
        <w:tc>
          <w:tcPr>
            <w:tcW w:w="1870" w:type="dxa"/>
          </w:tcPr>
          <w:p w14:paraId="63AAD7B6" w14:textId="77777777" w:rsidR="008032A6" w:rsidRDefault="008032A6" w:rsidP="00BE6064">
            <w:r>
              <w:t xml:space="preserve">Ongoing review and auditing of charts for additional information, funding, and need. </w:t>
            </w:r>
          </w:p>
        </w:tc>
      </w:tr>
      <w:tr w:rsidR="008032A6" w14:paraId="6A57E477" w14:textId="77777777" w:rsidTr="00BE6064">
        <w:tc>
          <w:tcPr>
            <w:tcW w:w="1870" w:type="dxa"/>
          </w:tcPr>
          <w:p w14:paraId="3DA33C78" w14:textId="77777777" w:rsidR="008032A6" w:rsidRPr="00BF1FE1" w:rsidRDefault="008032A6" w:rsidP="00BE6064">
            <w:pPr>
              <w:rPr>
                <w:b/>
                <w:bCs/>
                <w:sz w:val="28"/>
                <w:szCs w:val="28"/>
              </w:rPr>
            </w:pPr>
            <w:r w:rsidRPr="00BF1FE1">
              <w:rPr>
                <w:b/>
                <w:bCs/>
                <w:sz w:val="28"/>
                <w:szCs w:val="28"/>
              </w:rPr>
              <w:t>Organizational Infrastructure</w:t>
            </w:r>
          </w:p>
        </w:tc>
        <w:tc>
          <w:tcPr>
            <w:tcW w:w="1870" w:type="dxa"/>
          </w:tcPr>
          <w:p w14:paraId="3A53ADA6" w14:textId="77777777" w:rsidR="008032A6" w:rsidRDefault="008032A6" w:rsidP="00BE6064">
            <w:r>
              <w:t>Prepare for organizational challenges by identifying the workflow challenges to using the tool at the advocacy center.</w:t>
            </w:r>
          </w:p>
        </w:tc>
        <w:tc>
          <w:tcPr>
            <w:tcW w:w="1870" w:type="dxa"/>
          </w:tcPr>
          <w:p w14:paraId="37397BEB" w14:textId="77777777" w:rsidR="008032A6" w:rsidRDefault="008032A6" w:rsidP="00BE6064">
            <w:r>
              <w:t xml:space="preserve">Elicit support from the Executive Director to help with support project implementation. Clinic manager to reinforce with nurses and to ensure no data has HIPPA breaches. </w:t>
            </w:r>
          </w:p>
        </w:tc>
        <w:tc>
          <w:tcPr>
            <w:tcW w:w="1870" w:type="dxa"/>
          </w:tcPr>
          <w:p w14:paraId="3353AC35" w14:textId="77777777" w:rsidR="008032A6" w:rsidRDefault="008032A6" w:rsidP="00BE6064">
            <w:r>
              <w:t>Integrating the EMR allows all nurses at all locations to screen for IPV.</w:t>
            </w:r>
          </w:p>
        </w:tc>
        <w:tc>
          <w:tcPr>
            <w:tcW w:w="1870" w:type="dxa"/>
          </w:tcPr>
          <w:p w14:paraId="2C022BD2" w14:textId="77777777" w:rsidR="008032A6" w:rsidRDefault="008032A6" w:rsidP="00BE6064">
            <w:r>
              <w:t>EMR updates to be approved and continues to have IPV screening, Move from paper to electronic screening</w:t>
            </w:r>
          </w:p>
        </w:tc>
      </w:tr>
      <w:tr w:rsidR="008032A6" w14:paraId="4127F88B" w14:textId="77777777" w:rsidTr="00BE6064">
        <w:tc>
          <w:tcPr>
            <w:tcW w:w="1870" w:type="dxa"/>
          </w:tcPr>
          <w:p w14:paraId="48E48684" w14:textId="77777777" w:rsidR="008032A6" w:rsidRPr="00BF1FE1" w:rsidRDefault="008032A6" w:rsidP="00BE6064">
            <w:pPr>
              <w:rPr>
                <w:b/>
                <w:bCs/>
                <w:sz w:val="28"/>
                <w:szCs w:val="28"/>
              </w:rPr>
            </w:pPr>
            <w:r w:rsidRPr="00BF1FE1">
              <w:rPr>
                <w:b/>
                <w:bCs/>
                <w:sz w:val="28"/>
                <w:szCs w:val="28"/>
              </w:rPr>
              <w:t>Reinforcement</w:t>
            </w:r>
          </w:p>
        </w:tc>
        <w:tc>
          <w:tcPr>
            <w:tcW w:w="1870" w:type="dxa"/>
          </w:tcPr>
          <w:p w14:paraId="02095544" w14:textId="77777777" w:rsidR="008032A6" w:rsidRDefault="008032A6" w:rsidP="00BE6064">
            <w:r>
              <w:t xml:space="preserve">Propose reinforcement through email and staff meetings on Wednesdays to remind nurses and the team about the project—request to be on the meeting agenda for SART to loop in law enforcement. </w:t>
            </w:r>
          </w:p>
        </w:tc>
        <w:tc>
          <w:tcPr>
            <w:tcW w:w="1870" w:type="dxa"/>
          </w:tcPr>
          <w:p w14:paraId="3B18C6FA" w14:textId="77777777" w:rsidR="008032A6" w:rsidRDefault="008032A6" w:rsidP="00BE6064">
            <w:r>
              <w:t xml:space="preserve">Weekly emails and staff meeting announcements to remind and reinforce the process and project and examine any barriers. </w:t>
            </w:r>
          </w:p>
        </w:tc>
        <w:tc>
          <w:tcPr>
            <w:tcW w:w="1870" w:type="dxa"/>
          </w:tcPr>
          <w:p w14:paraId="40964448" w14:textId="77777777" w:rsidR="008032A6" w:rsidRDefault="008032A6" w:rsidP="00BE6064">
            <w:r>
              <w:t>Reminders and chart audits to ensure consistency</w:t>
            </w:r>
          </w:p>
        </w:tc>
        <w:tc>
          <w:tcPr>
            <w:tcW w:w="1870" w:type="dxa"/>
          </w:tcPr>
          <w:p w14:paraId="5FC6585E" w14:textId="77777777" w:rsidR="008032A6" w:rsidRDefault="008032A6" w:rsidP="00BE6064">
            <w:r>
              <w:t>Reminders and chart audits to ensure consistency.</w:t>
            </w:r>
          </w:p>
          <w:p w14:paraId="573902A9" w14:textId="77777777" w:rsidR="008032A6" w:rsidRDefault="008032A6" w:rsidP="00BE6064"/>
        </w:tc>
      </w:tr>
    </w:tbl>
    <w:p w14:paraId="3576BC98" w14:textId="77777777" w:rsidR="00117B66" w:rsidRDefault="00117B66"/>
    <w:sectPr w:rsidR="00117B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76F1" w14:textId="77777777" w:rsidR="00963FB2" w:rsidRDefault="00963FB2">
      <w:r>
        <w:separator/>
      </w:r>
    </w:p>
  </w:endnote>
  <w:endnote w:type="continuationSeparator" w:id="0">
    <w:p w14:paraId="0FFF9ECD" w14:textId="77777777" w:rsidR="00963FB2" w:rsidRDefault="009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B647A" w14:textId="77777777" w:rsidR="00963FB2" w:rsidRDefault="00963FB2">
      <w:r>
        <w:separator/>
      </w:r>
    </w:p>
  </w:footnote>
  <w:footnote w:type="continuationSeparator" w:id="0">
    <w:p w14:paraId="72E311B8" w14:textId="77777777" w:rsidR="00963FB2" w:rsidRDefault="0096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6613" w14:textId="1580D20C" w:rsidR="00117B66" w:rsidRDefault="00963FB2">
    <w:pPr>
      <w:pStyle w:val="APAPageHeading"/>
    </w:pPr>
    <w:sdt>
      <w:sdtPr>
        <w:tag w:val="RunningHead"/>
        <w:id w:val="1709214789"/>
        <w:lock w:val="contentLocked"/>
        <w:placeholder>
          <w:docPart w:val="49EC8DF3EAE841409510F9F2DA595520"/>
        </w:placeholder>
      </w:sdtPr>
      <w:sdtEndPr/>
      <w:sdtContent>
        <w:r>
          <w:t>THE IOWA MODEL PART 2</w:t>
        </w:r>
      </w:sdtContent>
    </w:sdt>
    <w:r>
      <w:tab/>
    </w:r>
    <w:r>
      <w:fldChar w:fldCharType="begin"/>
    </w:r>
    <w:r>
      <w:instrText>PAGE</w:instrText>
    </w:r>
    <w:r>
      <w:fldChar w:fldCharType="separate"/>
    </w:r>
    <w:r w:rsidR="00570574">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9FCA" w14:textId="77777777" w:rsidR="00117B66" w:rsidRDefault="00963FB2">
    <w:pPr>
      <w:pStyle w:val="APAPageHeading"/>
    </w:pPr>
    <w:sdt>
      <w:sdtPr>
        <w:tag w:val="FirstPageRunningHead"/>
        <w:id w:val="-1479144368"/>
        <w:lock w:val="contentLocked"/>
        <w:placeholder>
          <w:docPart w:val="49EC8DF3EAE841409510F9F2DA595520"/>
        </w:placeholder>
        <w:showingPlcHdr/>
      </w:sdtPr>
      <w:sdtEndPr/>
      <w:sdtContent>
        <w:r w:rsidRPr="00317AE2">
          <w:rPr>
            <w:rStyle w:val="PlaceholderText"/>
          </w:rPr>
          <w:t>Click or tap here to enter text.</w:t>
        </w:r>
      </w:sdtContent>
    </w:sdt>
    <w:r>
      <w:tab/>
    </w: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A6"/>
    <w:rsid w:val="00117B66"/>
    <w:rsid w:val="00381AB6"/>
    <w:rsid w:val="00570574"/>
    <w:rsid w:val="008032A6"/>
    <w:rsid w:val="0094071B"/>
    <w:rsid w:val="0096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D36"/>
  <w15:chartTrackingRefBased/>
  <w15:docId w15:val="{AB1859F1-60A4-4AB4-BDD7-5FAA95CD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32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rsid w:val="008032A6"/>
    <w:pPr>
      <w:spacing w:after="0" w:line="480" w:lineRule="auto"/>
      <w:ind w:firstLine="720"/>
    </w:pPr>
  </w:style>
  <w:style w:type="paragraph" w:customStyle="1" w:styleId="APAHeading1">
    <w:name w:val="APA Heading 1"/>
    <w:basedOn w:val="APA"/>
    <w:next w:val="APA"/>
    <w:link w:val="APAHeading1Char"/>
    <w:qFormat/>
    <w:rsid w:val="008032A6"/>
    <w:pPr>
      <w:ind w:firstLine="0"/>
      <w:jc w:val="center"/>
      <w:outlineLvl w:val="0"/>
    </w:pPr>
    <w:rPr>
      <w:b/>
    </w:rPr>
  </w:style>
  <w:style w:type="paragraph" w:customStyle="1" w:styleId="APAPageHeading">
    <w:name w:val="APA Page Heading"/>
    <w:basedOn w:val="APA"/>
    <w:rsid w:val="008032A6"/>
    <w:pPr>
      <w:tabs>
        <w:tab w:val="right" w:pos="9360"/>
      </w:tabs>
      <w:ind w:firstLine="0"/>
    </w:pPr>
  </w:style>
  <w:style w:type="paragraph" w:customStyle="1" w:styleId="APAReference">
    <w:name w:val="APA Reference"/>
    <w:basedOn w:val="APA"/>
    <w:qFormat/>
    <w:rsid w:val="008032A6"/>
    <w:pPr>
      <w:ind w:left="720" w:hanging="720"/>
    </w:pPr>
  </w:style>
  <w:style w:type="character" w:styleId="PlaceholderText">
    <w:name w:val="Placeholder Text"/>
    <w:basedOn w:val="DefaultParagraphFont"/>
    <w:uiPriority w:val="99"/>
    <w:semiHidden/>
    <w:rsid w:val="008032A6"/>
    <w:rPr>
      <w:color w:val="808080"/>
    </w:rPr>
  </w:style>
  <w:style w:type="paragraph" w:customStyle="1" w:styleId="APAReferenceSectionHeading">
    <w:name w:val="APA Reference Section Heading"/>
    <w:basedOn w:val="Normal"/>
    <w:next w:val="APAReference"/>
    <w:rsid w:val="008032A6"/>
    <w:pPr>
      <w:spacing w:line="480" w:lineRule="auto"/>
      <w:jc w:val="center"/>
      <w:outlineLvl w:val="0"/>
    </w:pPr>
    <w:rPr>
      <w:b/>
    </w:rPr>
  </w:style>
  <w:style w:type="character" w:customStyle="1" w:styleId="APAChar">
    <w:name w:val="APA Char"/>
    <w:basedOn w:val="BodyTextChar"/>
    <w:link w:val="APA"/>
    <w:rsid w:val="008032A6"/>
    <w:rPr>
      <w:rFonts w:ascii="Times New Roman" w:eastAsia="Times New Roman" w:hAnsi="Times New Roman" w:cs="Times New Roman"/>
      <w:sz w:val="24"/>
      <w:szCs w:val="24"/>
    </w:rPr>
  </w:style>
  <w:style w:type="character" w:customStyle="1" w:styleId="APAHeading1Char">
    <w:name w:val="APA Heading 1 Char"/>
    <w:basedOn w:val="APAChar"/>
    <w:link w:val="APAHeading1"/>
    <w:rsid w:val="008032A6"/>
    <w:rPr>
      <w:rFonts w:ascii="Times New Roman" w:eastAsia="Times New Roman" w:hAnsi="Times New Roman" w:cs="Times New Roman"/>
      <w:b/>
      <w:sz w:val="24"/>
      <w:szCs w:val="24"/>
    </w:rPr>
  </w:style>
  <w:style w:type="table" w:styleId="TableGrid">
    <w:name w:val="Table Grid"/>
    <w:basedOn w:val="TableNormal"/>
    <w:uiPriority w:val="39"/>
    <w:rsid w:val="008032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FirstPageTitle">
    <w:name w:val="APA First Page Title"/>
    <w:basedOn w:val="Normal"/>
    <w:next w:val="APA"/>
    <w:rsid w:val="008032A6"/>
    <w:pPr>
      <w:spacing w:line="480" w:lineRule="auto"/>
      <w:jc w:val="center"/>
      <w:outlineLvl w:val="0"/>
    </w:pPr>
    <w:rPr>
      <w:b/>
    </w:rPr>
  </w:style>
  <w:style w:type="paragraph" w:customStyle="1" w:styleId="APAAppendixTitle">
    <w:name w:val="APA Appendix Title"/>
    <w:basedOn w:val="APAHeading1"/>
    <w:next w:val="APA"/>
    <w:rsid w:val="008032A6"/>
    <w:pPr>
      <w:outlineLvl w:val="9"/>
    </w:pPr>
  </w:style>
  <w:style w:type="character" w:styleId="Emphasis">
    <w:name w:val="Emphasis"/>
    <w:basedOn w:val="DefaultParagraphFont"/>
    <w:uiPriority w:val="20"/>
    <w:qFormat/>
    <w:rsid w:val="008032A6"/>
    <w:rPr>
      <w:i/>
      <w:iCs/>
    </w:rPr>
  </w:style>
  <w:style w:type="character" w:styleId="Hyperlink">
    <w:name w:val="Hyperlink"/>
    <w:basedOn w:val="DefaultParagraphFont"/>
    <w:uiPriority w:val="99"/>
    <w:semiHidden/>
    <w:unhideWhenUsed/>
    <w:rsid w:val="008032A6"/>
    <w:rPr>
      <w:color w:val="0000FF"/>
      <w:u w:val="single"/>
    </w:rPr>
  </w:style>
  <w:style w:type="paragraph" w:styleId="BodyText">
    <w:name w:val="Body Text"/>
    <w:basedOn w:val="Normal"/>
    <w:link w:val="BodyTextChar"/>
    <w:uiPriority w:val="99"/>
    <w:semiHidden/>
    <w:unhideWhenUsed/>
    <w:rsid w:val="008032A6"/>
    <w:pPr>
      <w:spacing w:after="120"/>
    </w:pPr>
  </w:style>
  <w:style w:type="character" w:customStyle="1" w:styleId="BodyTextChar">
    <w:name w:val="Body Text Char"/>
    <w:basedOn w:val="DefaultParagraphFont"/>
    <w:link w:val="BodyText"/>
    <w:uiPriority w:val="99"/>
    <w:semiHidden/>
    <w:rsid w:val="008032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vio0000053"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doi.org/10.1177/0886260518817022" TargetMode="External"/><Relationship Id="rId12" Type="http://schemas.openxmlformats.org/officeDocument/2006/relationships/hyperlink" Target="https://doi.org/10.1056/nejmcp110286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cdc.gov/violenceprevention/communicationresources/infographics/ipv.html" TargetMode="External"/><Relationship Id="rId11" Type="http://schemas.openxmlformats.org/officeDocument/2006/relationships/hyperlink" Target="https://doi.org/10.1001/jama.2018.1485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16/s0002-9378(98)70361-8" TargetMode="Externa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doi.org/10.1002/emp2.12490"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EC8DF3EAE841409510F9F2DA595520"/>
        <w:category>
          <w:name w:val="General"/>
          <w:gallery w:val="placeholder"/>
        </w:category>
        <w:types>
          <w:type w:val="bbPlcHdr"/>
        </w:types>
        <w:behaviors>
          <w:behavior w:val="content"/>
        </w:behaviors>
        <w:guid w:val="{9D891A35-0B8B-4AD8-B1D9-25811FB7B011}"/>
      </w:docPartPr>
      <w:docPartBody>
        <w:p w:rsidR="00C02C47" w:rsidRDefault="009A1B83" w:rsidP="009A1B83">
          <w:pPr>
            <w:pStyle w:val="49EC8DF3EAE841409510F9F2DA595520"/>
          </w:pPr>
          <w:r w:rsidRPr="00317A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83"/>
    <w:rsid w:val="007B146E"/>
    <w:rsid w:val="0090413E"/>
    <w:rsid w:val="009A1B83"/>
    <w:rsid w:val="00C0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B83"/>
    <w:rPr>
      <w:color w:val="808080"/>
    </w:rPr>
  </w:style>
  <w:style w:type="paragraph" w:customStyle="1" w:styleId="49EC8DF3EAE841409510F9F2DA595520">
    <w:name w:val="49EC8DF3EAE841409510F9F2DA595520"/>
    <w:rsid w:val="009A1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5032181440D43B55E422A5C76F30C" ma:contentTypeVersion="23" ma:contentTypeDescription="Create a new document." ma:contentTypeScope="" ma:versionID="9d0b8187c1783a14fa289315ced2c83f">
  <xsd:schema xmlns:xsd="http://www.w3.org/2001/XMLSchema" xmlns:xs="http://www.w3.org/2001/XMLSchema" xmlns:p="http://schemas.microsoft.com/office/2006/metadata/properties" xmlns:ns2="09284045-d215-4eea-a6fb-d186447d56dd" xmlns:ns3="b8433483-1d4e-4fb3-9f99-54e542f370b8" targetNamespace="http://schemas.microsoft.com/office/2006/metadata/properties" ma:root="true" ma:fieldsID="7d71e2147094ed83d2c4739c7b6b4ba3" ns2:_="" ns3:_="">
    <xsd:import namespace="09284045-d215-4eea-a6fb-d186447d56dd"/>
    <xsd:import namespace="b8433483-1d4e-4fb3-9f99-54e542f370b8"/>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1" minOccurs="0"/>
                <xsd:element ref="ns2:lcf76f155ced4ddcb4097134ff3c332f2"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84045-d215-4eea-a6fb-d186447d56d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1" ma:index="23" nillable="true" ma:displayName="Image Tags_0" ma:hidden="true" ma:internalName="lcf76f155ced4ddcb4097134ff3c332f1" ma:readOnly="false">
      <xsd:simpleType>
        <xsd:restriction base="dms:Note"/>
      </xsd:simpleType>
    </xsd:element>
    <xsd:element name="lcf76f155ced4ddcb4097134ff3c332f2" ma:index="24" nillable="true" ma:displayName="Image Tags_0" ma:hidden="true" ma:internalName="lcf76f155ced4ddcb4097134ff3c332f2" ma:readOnly="fals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ac81174-90e6-44ae-846b-49af66d0861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33483-1d4e-4fb3-9f99-54e542f370b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41c3dec-0607-4633-950a-0f5acd44eb26}" ma:internalName="TaxCatchAll" ma:showField="CatchAllData" ma:web="b8433483-1d4e-4fb3-9f99-54e542f370b8">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84045-d215-4eea-a6fb-d186447d56dd">
      <Terms xmlns="http://schemas.microsoft.com/office/infopath/2007/PartnerControls"/>
    </lcf76f155ced4ddcb4097134ff3c332f>
    <MigrationWizIdPermissionLevels xmlns="09284045-d215-4eea-a6fb-d186447d56dd" xsi:nil="true"/>
    <TaxCatchAll xmlns="b8433483-1d4e-4fb3-9f99-54e542f370b8" xsi:nil="true"/>
    <MigrationWizIdPermissions xmlns="09284045-d215-4eea-a6fb-d186447d56dd" xsi:nil="true"/>
    <MigrationWizIdVersion xmlns="09284045-d215-4eea-a6fb-d186447d56dd" xsi:nil="true"/>
    <MigrationWizIdDocumentLibraryPermissions xmlns="09284045-d215-4eea-a6fb-d186447d56dd" xsi:nil="true"/>
    <MigrationWizIdSecurityGroups xmlns="09284045-d215-4eea-a6fb-d186447d56dd" xsi:nil="true"/>
    <lcf76f155ced4ddcb4097134ff3c332f0 xmlns="09284045-d215-4eea-a6fb-d186447d56dd" xsi:nil="true"/>
    <lcf76f155ced4ddcb4097134ff3c332f1 xmlns="09284045-d215-4eea-a6fb-d186447d56dd" xsi:nil="true"/>
    <lcf76f155ced4ddcb4097134ff3c332f2 xmlns="09284045-d215-4eea-a6fb-d186447d56dd" xsi:nil="true"/>
    <MigrationWizId xmlns="09284045-d215-4eea-a6fb-d186447d56dd" xsi:nil="true"/>
  </documentManagement>
</p:properties>
</file>

<file path=customXml/itemProps1.xml><?xml version="1.0" encoding="utf-8"?>
<ds:datastoreItem xmlns:ds="http://schemas.openxmlformats.org/officeDocument/2006/customXml" ds:itemID="{B303D1E0-5CEC-4639-95CA-0ECB80839F1B}"/>
</file>

<file path=customXml/itemProps2.xml><?xml version="1.0" encoding="utf-8"?>
<ds:datastoreItem xmlns:ds="http://schemas.openxmlformats.org/officeDocument/2006/customXml" ds:itemID="{CED96E64-E19F-4174-92B0-631D97E6532D}"/>
</file>

<file path=customXml/itemProps3.xml><?xml version="1.0" encoding="utf-8"?>
<ds:datastoreItem xmlns:ds="http://schemas.openxmlformats.org/officeDocument/2006/customXml" ds:itemID="{BC0B2301-C316-4D38-8FA1-EC86B126B6F5}"/>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hoeppner</dc:creator>
  <cp:keywords/>
  <dc:description/>
  <cp:lastModifiedBy>Pittroff, Gail E.</cp:lastModifiedBy>
  <cp:revision>2</cp:revision>
  <dcterms:created xsi:type="dcterms:W3CDTF">2024-10-15T15:41:00Z</dcterms:created>
  <dcterms:modified xsi:type="dcterms:W3CDTF">2024-10-15T15:41:00Z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4894ba85-7435-4a86-8d30-2db4a7b79919</vt:lpwstr>
  </property>
  <property fmtid="{D5CDD505-2E9C-101B-9397-08002B2CF9AE}" pid="3" name="ContentTypeId">
    <vt:lpwstr>0x010100DBF5032181440D43B55E422A5C76F30C</vt:lpwstr>
  </property>
</Properties>
</file>